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0E" w:rsidRDefault="007F7783">
      <w:pPr>
        <w:pStyle w:val="name"/>
        <w:spacing w:after="0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Уважаемые акционеры</w:t>
      </w:r>
      <w:proofErr w:type="gramStart"/>
      <w:r>
        <w:rPr>
          <w:color w:val="auto"/>
          <w:sz w:val="28"/>
          <w:szCs w:val="28"/>
        </w:rPr>
        <w:t xml:space="preserve"> !</w:t>
      </w:r>
      <w:proofErr w:type="gramEnd"/>
    </w:p>
    <w:p w:rsidR="00C61C0E" w:rsidRDefault="00C61C0E">
      <w:pPr>
        <w:pStyle w:val="name"/>
        <w:spacing w:after="0"/>
        <w:ind w:firstLine="567"/>
        <w:rPr>
          <w:color w:val="auto"/>
          <w:sz w:val="28"/>
          <w:szCs w:val="28"/>
        </w:rPr>
      </w:pPr>
    </w:p>
    <w:p w:rsidR="00C61C0E" w:rsidRDefault="007F7783">
      <w:pPr>
        <w:pStyle w:val="name"/>
        <w:spacing w:after="0"/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Открытое акционерное общество «Компаньон» (далее – Общество), расположенное по адресу: </w:t>
      </w:r>
      <w:proofErr w:type="gramStart"/>
      <w:r>
        <w:rPr>
          <w:b w:val="0"/>
          <w:color w:val="auto"/>
          <w:sz w:val="28"/>
          <w:szCs w:val="28"/>
        </w:rPr>
        <w:t>Гомельская</w:t>
      </w:r>
      <w:proofErr w:type="gramEnd"/>
      <w:r>
        <w:rPr>
          <w:b w:val="0"/>
          <w:color w:val="auto"/>
          <w:sz w:val="28"/>
          <w:szCs w:val="28"/>
        </w:rPr>
        <w:t xml:space="preserve"> обл., г. Жлобин, микрорайон 17, д. 36-1-2 </w:t>
      </w:r>
      <w:r>
        <w:rPr>
          <w:b w:val="0"/>
          <w:color w:val="auto"/>
          <w:sz w:val="28"/>
          <w:szCs w:val="28"/>
        </w:rPr>
        <w:t xml:space="preserve">доводит до Вашего сведения решения, принятые 30 марта 2023 г. годовым общем собранием акционеров Общества </w:t>
      </w:r>
    </w:p>
    <w:p w:rsidR="00C61C0E" w:rsidRDefault="00C61C0E">
      <w:pPr>
        <w:pStyle w:val="name"/>
        <w:spacing w:after="0"/>
        <w:ind w:firstLine="567"/>
        <w:rPr>
          <w:b w:val="0"/>
          <w:color w:val="auto"/>
        </w:rPr>
      </w:pPr>
    </w:p>
    <w:p w:rsidR="00C61C0E" w:rsidRDefault="007F7783">
      <w:pPr>
        <w:spacing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ПОВЕСТКА ДНЯ:</w:t>
      </w: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423"/>
        <w:gridCol w:w="9148"/>
      </w:tblGrid>
      <w:tr w:rsidR="00C61C0E">
        <w:tc>
          <w:tcPr>
            <w:tcW w:w="423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47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итогах финансово-хозяйственной деятельности Общества за 2022 год и основных направлениях деятельности на 2023 год.</w:t>
            </w:r>
          </w:p>
        </w:tc>
      </w:tr>
      <w:tr w:rsidR="00C61C0E">
        <w:tc>
          <w:tcPr>
            <w:tcW w:w="423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47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Отчёт о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аботе Наблюдательного совета за апрель 2022-март 2023.</w:t>
            </w:r>
          </w:p>
        </w:tc>
      </w:tr>
      <w:tr w:rsidR="00C61C0E">
        <w:tc>
          <w:tcPr>
            <w:tcW w:w="423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47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Отчёт о работе ревизора за апрель 2022-март 2023г.г. Рассмотрение результатов ежегодной ревизии финансово- хозяйственной деятельности Общества за 2022 год. Рассмотрение аудиторского заключения по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тогам проведения аудита Общества за 2022 год.</w:t>
            </w:r>
          </w:p>
        </w:tc>
      </w:tr>
      <w:tr w:rsidR="00C61C0E">
        <w:tc>
          <w:tcPr>
            <w:tcW w:w="423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47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Утверждение годового отчёта, бухгалтерского баланса, отчёта о прибылях и убытках за 2022 год. Распределение прибыли Общества за 2022 год. Утверждение направлений использования прибыли на 2023 год.</w:t>
            </w:r>
          </w:p>
        </w:tc>
      </w:tr>
      <w:tr w:rsidR="00C61C0E">
        <w:tc>
          <w:tcPr>
            <w:tcW w:w="423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47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Избра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 членов Наблюдательного совета и ревизора Общества.</w:t>
            </w:r>
          </w:p>
        </w:tc>
      </w:tr>
      <w:tr w:rsidR="00C61C0E">
        <w:tc>
          <w:tcPr>
            <w:tcW w:w="423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147" w:type="dxa"/>
          </w:tcPr>
          <w:p w:rsidR="00C61C0E" w:rsidRDefault="007F778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установлении вознаграждения членам Наблюдательного совета и ревизору Общества.</w:t>
            </w:r>
          </w:p>
        </w:tc>
      </w:tr>
    </w:tbl>
    <w:p w:rsidR="00C61C0E" w:rsidRDefault="00C61C0E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0E" w:rsidRDefault="007F7783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собрания</w:t>
      </w:r>
    </w:p>
    <w:p w:rsidR="00C61C0E" w:rsidRDefault="00C61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C61C0E" w:rsidRDefault="00C61C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C0E" w:rsidRDefault="007F778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отчёт об итогах финансово-хозяйственной деятельности  </w:t>
      </w:r>
      <w:r>
        <w:rPr>
          <w:rFonts w:ascii="Times New Roman" w:hAnsi="Times New Roman" w:cs="Times New Roman"/>
          <w:sz w:val="28"/>
          <w:szCs w:val="28"/>
        </w:rPr>
        <w:t>Общества за  2022 год и основных направлениях деятельности на 2023 год.</w:t>
      </w:r>
    </w:p>
    <w:p w:rsidR="00C61C0E" w:rsidRDefault="007F77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0E" w:rsidRDefault="007F7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отчёт о работе Наблюдательного совета ОАО «Компаньон» за апрель 2022-март 2023 года. Признать работу Наблюдательного совета удовле</w:t>
      </w:r>
      <w:r>
        <w:rPr>
          <w:rFonts w:ascii="Times New Roman" w:hAnsi="Times New Roman" w:cs="Times New Roman"/>
          <w:sz w:val="28"/>
          <w:szCs w:val="28"/>
        </w:rPr>
        <w:t>творительной.</w:t>
      </w:r>
    </w:p>
    <w:p w:rsidR="00C61C0E" w:rsidRDefault="00C61C0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принято </w:t>
      </w:r>
    </w:p>
    <w:p w:rsidR="00C61C0E" w:rsidRDefault="00C61C0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третьему вопросу:</w:t>
      </w: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0E" w:rsidRDefault="007F77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отчёт о работе ревизора за апрель 2022-март 2023 года.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ревизора удовлетворительной. Принять к сведению аудиторское заключение по итогам ежегодного аудита Общества за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результаты ежегодной ревизии – по результатам финансово-хозяйственной деятельности Общества за 2022 год. </w:t>
      </w: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C61C0E" w:rsidRDefault="00C61C0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четвёртому вопросу:</w:t>
      </w: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7F7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годовой отчёт, бухгалтерский баланс, отчёт о прибылях и убытках Общес</w:t>
      </w:r>
      <w:r>
        <w:rPr>
          <w:rFonts w:ascii="Times New Roman" w:hAnsi="Times New Roman" w:cs="Times New Roman"/>
          <w:sz w:val="28"/>
          <w:szCs w:val="28"/>
        </w:rPr>
        <w:t xml:space="preserve">тва за 2022 год. Утвердить следующий порядок распределения прибыли, оставшейся в распоряжении Общества после уплаты налогов и иных обязательных платежей за 2022 год:  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100% чистой прибыли  направить на выплату дивидендов.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распределения при</w:t>
      </w:r>
      <w:r>
        <w:rPr>
          <w:rFonts w:ascii="Times New Roman" w:hAnsi="Times New Roman" w:cs="Times New Roman"/>
          <w:sz w:val="28"/>
          <w:szCs w:val="28"/>
        </w:rPr>
        <w:t>были на 2023 год: 70% - на выплату дивидендов,30%- на капитализацию для инвестирования развития Общества.</w:t>
      </w: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C61C0E" w:rsidRDefault="00C61C0E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пятому вопросу:</w:t>
      </w:r>
    </w:p>
    <w:p w:rsidR="00C61C0E" w:rsidRDefault="007F7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Избрать   Наблюдательный  совет  в составе 3 человек</w:t>
      </w:r>
    </w:p>
    <w:p w:rsidR="00C61C0E" w:rsidRDefault="00C61C0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Избрать ревизора.</w:t>
      </w:r>
      <w:bookmarkStart w:id="0" w:name="_GoBack"/>
      <w:bookmarkEnd w:id="0"/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7F778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</w:t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шестому вопросу: </w:t>
      </w:r>
    </w:p>
    <w:p w:rsidR="00C61C0E" w:rsidRDefault="007F778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Установить для членов Наблюдательного совета следующее ежемесячное вознаграждение за осуществление возлагаемых на них обязанностей: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председателю Наблюдательного совета – 1 минимальная заработная плата; 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секретарю Н</w:t>
      </w:r>
      <w:r>
        <w:rPr>
          <w:rFonts w:ascii="Times New Roman" w:hAnsi="Times New Roman" w:cs="Times New Roman"/>
          <w:sz w:val="28"/>
          <w:szCs w:val="28"/>
        </w:rPr>
        <w:t xml:space="preserve">аблюдательного совета – 1 минимальная заработная плата; </w:t>
      </w:r>
    </w:p>
    <w:p w:rsidR="00C61C0E" w:rsidRDefault="007F778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члену Наблюдательного совета – 0,5 минимальной заработной платы; </w:t>
      </w:r>
    </w:p>
    <w:p w:rsidR="00C61C0E" w:rsidRDefault="00C61C0E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C0E" w:rsidRDefault="00C61C0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C0E" w:rsidRDefault="00C61C0E">
      <w:pPr>
        <w:pStyle w:val="a8"/>
        <w:tabs>
          <w:tab w:val="left" w:pos="644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0E" w:rsidRDefault="007F7783">
      <w:pPr>
        <w:pStyle w:val="a8"/>
        <w:tabs>
          <w:tab w:val="left" w:pos="644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принято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1C0E" w:rsidRDefault="007F7783">
      <w:pPr>
        <w:pStyle w:val="a8"/>
        <w:tabs>
          <w:tab w:val="left" w:pos="5207"/>
        </w:tabs>
        <w:ind w:left="495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Наблюдательный совет Общества</w:t>
      </w:r>
    </w:p>
    <w:p w:rsidR="00C61C0E" w:rsidRDefault="00C61C0E"/>
    <w:sectPr w:rsidR="00C61C0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0E"/>
    <w:rsid w:val="007F7783"/>
    <w:rsid w:val="00C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D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0757D9"/>
    <w:rPr>
      <w:rFonts w:ascii="Calibri" w:eastAsiaTheme="minorEastAsia" w:hAnsi="Calibri"/>
      <w:lang w:eastAsia="ru-RU"/>
    </w:rPr>
  </w:style>
  <w:style w:type="paragraph" w:customStyle="1" w:styleId="name">
    <w:name w:val="name"/>
    <w:basedOn w:val="a"/>
    <w:qFormat/>
    <w:rsid w:val="000757D9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</w:rPr>
  </w:style>
  <w:style w:type="table" w:styleId="a9">
    <w:name w:val="Table Grid"/>
    <w:basedOn w:val="a1"/>
    <w:uiPriority w:val="59"/>
    <w:rsid w:val="000757D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D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0757D9"/>
    <w:rPr>
      <w:rFonts w:ascii="Calibri" w:eastAsiaTheme="minorEastAsia" w:hAnsi="Calibri"/>
      <w:lang w:eastAsia="ru-RU"/>
    </w:rPr>
  </w:style>
  <w:style w:type="paragraph" w:customStyle="1" w:styleId="name">
    <w:name w:val="name"/>
    <w:basedOn w:val="a"/>
    <w:qFormat/>
    <w:rsid w:val="000757D9"/>
    <w:pPr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000088"/>
      <w:sz w:val="24"/>
      <w:szCs w:val="24"/>
    </w:rPr>
  </w:style>
  <w:style w:type="table" w:styleId="a9">
    <w:name w:val="Table Grid"/>
    <w:basedOn w:val="a1"/>
    <w:uiPriority w:val="59"/>
    <w:rsid w:val="000757D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Регина Петровна Никиткова</cp:lastModifiedBy>
  <cp:revision>10</cp:revision>
  <dcterms:created xsi:type="dcterms:W3CDTF">2023-03-31T08:11:00Z</dcterms:created>
  <dcterms:modified xsi:type="dcterms:W3CDTF">2023-04-03T10:28:00Z</dcterms:modified>
  <dc:language>en-US</dc:language>
</cp:coreProperties>
</file>